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39" w:rsidRPr="00090239" w:rsidRDefault="00090239" w:rsidP="00090239">
      <w:pPr>
        <w:spacing w:after="0" w:line="240" w:lineRule="auto"/>
        <w:rPr>
          <w:b/>
          <w:u w:val="single"/>
        </w:rPr>
      </w:pPr>
      <w:r w:rsidRPr="00090239">
        <w:rPr>
          <w:b/>
          <w:u w:val="single"/>
        </w:rPr>
        <w:t>Survey Statistics</w:t>
      </w:r>
    </w:p>
    <w:p w:rsidR="00704659" w:rsidRDefault="00704659" w:rsidP="00704659">
      <w:pPr>
        <w:spacing w:after="0" w:line="240" w:lineRule="auto"/>
        <w:jc w:val="both"/>
      </w:pPr>
      <w:r>
        <w:t xml:space="preserve">Forty-eight statements were compiled and adapted from key international horizon scanning literature (e.g., </w:t>
      </w:r>
      <w:r w:rsidR="006A64E0" w:rsidRPr="00294DD0">
        <w:t>CCA 2012</w:t>
      </w:r>
      <w:r w:rsidR="006A64E0">
        <w:t xml:space="preserve">; </w:t>
      </w:r>
      <w:r w:rsidR="006B6F97">
        <w:rPr>
          <w:rFonts w:cs="Arial"/>
          <w:color w:val="222222"/>
        </w:rPr>
        <w:t>Fleishman</w:t>
      </w:r>
      <w:bookmarkStart w:id="0" w:name="_GoBack"/>
      <w:bookmarkEnd w:id="0"/>
      <w:r w:rsidR="006B6F97">
        <w:rPr>
          <w:rFonts w:cs="Arial"/>
          <w:color w:val="222222"/>
        </w:rPr>
        <w:t xml:space="preserve"> et al. 2011; </w:t>
      </w:r>
      <w:r>
        <w:t>Parsons et al.</w:t>
      </w:r>
      <w:r w:rsidR="006A64E0">
        <w:t xml:space="preserve"> 2014</w:t>
      </w:r>
      <w:r>
        <w:t xml:space="preserve">; Sutherland et al. </w:t>
      </w:r>
      <w:r w:rsidR="006A64E0">
        <w:t>2006; Sutherland</w:t>
      </w:r>
      <w:r w:rsidR="006A64E0" w:rsidRPr="00294DD0">
        <w:t xml:space="preserve"> et al. </w:t>
      </w:r>
      <w:r w:rsidR="006A64E0">
        <w:t>2013</w:t>
      </w:r>
      <w:r w:rsidR="006A64E0" w:rsidRPr="00294DD0">
        <w:t>.</w:t>
      </w:r>
      <w:r>
        <w:t xml:space="preserve">; international processes were designed to prioritise scientific research with respect to maintaining a healthy environment. Workshop participants ranked each of the statements </w:t>
      </w:r>
      <w:r w:rsidRPr="00443B7D">
        <w:t xml:space="preserve">to identify how marine science can contribute to our economic, cultural and environmental wellbeing. </w:t>
      </w:r>
    </w:p>
    <w:p w:rsidR="00704659" w:rsidRPr="00443B7D" w:rsidRDefault="00704659" w:rsidP="00704659">
      <w:pPr>
        <w:spacing w:after="0" w:line="240" w:lineRule="auto"/>
        <w:jc w:val="both"/>
      </w:pPr>
      <w:r>
        <w:t>Results showed clear priorities across all work</w:t>
      </w:r>
      <w:r w:rsidR="00EA7ED7">
        <w:t xml:space="preserve">shop participants toward managing for cumulative impacts, integrated management, </w:t>
      </w:r>
      <w:r w:rsidR="007E687D">
        <w:t>undesirable change, stewardship and restoration, balancing of long and short term benefits, effective appropriately resourced networks, and translation of knowledge into practise</w:t>
      </w:r>
      <w:r w:rsidR="00EA7ED7">
        <w:t xml:space="preserve">. Workshop participants included a range of expertise in marine science, from </w:t>
      </w:r>
      <w:r w:rsidR="00EA7ED7" w:rsidRPr="007E687D">
        <w:t>established to emerging scientists, across research institutes, universities, and government agencies, and across marine disciplines including social sciences, ecology, physics, chemistry</w:t>
      </w:r>
      <w:r w:rsidR="007E687D" w:rsidRPr="007E687D">
        <w:t>,</w:t>
      </w:r>
      <w:r w:rsidR="00EA7ED7" w:rsidRPr="007E687D">
        <w:t xml:space="preserve"> geology, </w:t>
      </w:r>
      <w:r w:rsidR="007E687D" w:rsidRPr="007E687D">
        <w:t>economy, modelling, and marine governance</w:t>
      </w:r>
      <w:r w:rsidR="00EA7ED7" w:rsidRPr="007E687D">
        <w:t>. Highest ranking statements (16 of 48) were then compiled to develop five over-arching research themes that were discussed at roundtables at the workshop, identifying strategic science</w:t>
      </w:r>
      <w:r w:rsidR="00EA7ED7">
        <w:t xml:space="preserve"> gaps and research priorities for each theme. </w:t>
      </w:r>
    </w:p>
    <w:p w:rsidR="00704659" w:rsidRDefault="00704659" w:rsidP="00090239">
      <w:pPr>
        <w:spacing w:after="0" w:line="240" w:lineRule="auto"/>
      </w:pPr>
    </w:p>
    <w:p w:rsidR="00090239" w:rsidRDefault="00090239" w:rsidP="00EA7ED7">
      <w:pPr>
        <w:spacing w:after="0" w:line="240" w:lineRule="auto"/>
      </w:pPr>
      <w:r>
        <w:t>Results from the pre-workshop survey (n=30) showing</w:t>
      </w:r>
      <w:r w:rsidR="00EA7ED7">
        <w:t xml:space="preserve"> rank based on the percent of respondents that ranked a statement as high priority (ranking of either 1 or 2). </w:t>
      </w:r>
    </w:p>
    <w:p w:rsidR="00090239" w:rsidRDefault="00090239" w:rsidP="00090239">
      <w:pPr>
        <w:spacing w:after="0" w:line="240" w:lineRule="auto"/>
      </w:pPr>
    </w:p>
    <w:tbl>
      <w:tblPr>
        <w:tblW w:w="128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07"/>
        <w:gridCol w:w="11519"/>
      </w:tblGrid>
      <w:tr w:rsidR="00EA7ED7" w:rsidRPr="001539EB" w:rsidTr="00EA7ED7">
        <w:trPr>
          <w:trHeight w:val="382"/>
          <w:tblHeader/>
        </w:trPr>
        <w:tc>
          <w:tcPr>
            <w:tcW w:w="1298" w:type="dxa"/>
            <w:gridSpan w:val="2"/>
            <w:shd w:val="clear" w:color="auto" w:fill="D9D9D9" w:themeFill="background1" w:themeFillShade="D9"/>
            <w:noWrap/>
            <w:vAlign w:val="center"/>
          </w:tcPr>
          <w:p w:rsidR="00EA7ED7" w:rsidRPr="001539EB" w:rsidRDefault="00EA7ED7" w:rsidP="00090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 &amp; 2 rank</w:t>
            </w:r>
          </w:p>
        </w:tc>
        <w:tc>
          <w:tcPr>
            <w:tcW w:w="11519" w:type="dxa"/>
            <w:vMerge w:val="restart"/>
            <w:shd w:val="clear" w:color="auto" w:fill="auto"/>
            <w:noWrap/>
            <w:vAlign w:val="center"/>
          </w:tcPr>
          <w:p w:rsidR="00EA7ED7" w:rsidRPr="001539EB" w:rsidRDefault="00EA7ED7" w:rsidP="00090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Statement</w:t>
            </w:r>
          </w:p>
        </w:tc>
      </w:tr>
      <w:tr w:rsidR="00EA7ED7" w:rsidRPr="001539EB" w:rsidTr="00EA7ED7">
        <w:trPr>
          <w:trHeight w:val="666"/>
          <w:tblHeader/>
        </w:trPr>
        <w:tc>
          <w:tcPr>
            <w:tcW w:w="691" w:type="dxa"/>
            <w:shd w:val="clear" w:color="auto" w:fill="D9D9D9" w:themeFill="background1" w:themeFillShade="D9"/>
            <w:noWrap/>
            <w:vAlign w:val="center"/>
          </w:tcPr>
          <w:p w:rsidR="00EA7ED7" w:rsidRPr="001539EB" w:rsidRDefault="00EA7ED7" w:rsidP="00090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Rank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A7ED7" w:rsidRPr="001539EB" w:rsidRDefault="00EA7ED7" w:rsidP="00090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%</w:t>
            </w:r>
          </w:p>
        </w:tc>
        <w:tc>
          <w:tcPr>
            <w:tcW w:w="11519" w:type="dxa"/>
            <w:vMerge/>
            <w:shd w:val="clear" w:color="auto" w:fill="auto"/>
            <w:noWrap/>
            <w:vAlign w:val="center"/>
          </w:tcPr>
          <w:p w:rsidR="00EA7ED7" w:rsidRPr="001539EB" w:rsidRDefault="00EA7ED7" w:rsidP="00090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87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policy, legal, or institutional arrangements that are effective in integrating management for terrestrial watersheds and adjacent coastal environments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80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Developing techniques to quantify change and risk to ecosystem integrity associated with multiple stressors and cumulative impacts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80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techniques to define tipping points and the consequences of alternative states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Establishing and maintaining a network of institutions to identify and monitor environmental change and its impacts on biodiversity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ensemble of indicators to assess the state of coasts and ocean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Establishing effective innovative governance systems which provide incentives to private and public sector leaders at all levels to engage and support healthy marine ecosystems and community wellbeing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impacts and mitigation measures of marine and land based activities including emerging contaminants, new energy sources, and spills and accidents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lastRenderedPageBreak/>
              <w:t>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Formulating solutions which improve the wellbeing of communities and the environment simultaneously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70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Establishing how uncertainty, risk, and precautions should be incorporated into effective ocean governance and policy-making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10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69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environmental and social impacts, benefits, and risks of human activities in oceans undergoing change due to extractive industries, fishing, tourism, navigation, and traditional uses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Finding appropriate and effective methods of valuing marine environments (including marine-based resources) 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links between marine ecosystem function (including biodiversity and compositional structure components), ecosystem services and values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strategies which can be used to promote long-term integrated cross-disciplinary collaborations in ocean science and management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Including public involvement and formal recognition of customary rights in conservation decisions which aim to shape effective conservation interventions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Identifying which aspects of climate change, </w:t>
            </w:r>
            <w:proofErr w:type="spellStart"/>
            <w:r w:rsidRPr="001539EB">
              <w:rPr>
                <w:rFonts w:eastAsia="Times New Roman" w:cs="Times New Roman"/>
                <w:color w:val="000000"/>
                <w:lang w:eastAsia="en-NZ"/>
              </w:rPr>
              <w:t>e.g</w:t>
            </w:r>
            <w:proofErr w:type="spellEnd"/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 storms, sediment transport, are most likely to affect marine ecosystems and coastal communities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techniques to develop adaptive management strategies and assess their social, ecological and economic effectiveness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Determining how exchanges of energy and matter connect habitats and ecosystems to maintain ecosystem function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60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Understanding the unique challenges of high seas management and the best methods for ensuring effective and credible high seas governance and conservation outside national jurisdiction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what investments will encourage strong and sustainable partnerships among people, communities, governments and businesses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Incorporating the provision of tools such as marine spatial planning into marine conservation planning and management of marine ecosystem services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ways to financially and structurally support innovation in maintaining or improving marine ecosystems and economies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Evaluating the consequences of biotic invasion and native species loss on biodiversity and ecosystem function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lastRenderedPageBreak/>
              <w:t>19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significant benefits provided by poorly understood ecosystems (e.g. deep oceans)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55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Ascertaining how marine ecosystems can support food security, cultural security, and human well-being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Identifying methods that allow for resource and value trade-offs for social-ecological costs and benefits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53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Evaluating the timeframe of ecological information needed to make management decisions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48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most critical messages and concepts that should be communicated to citizens to influence their beliefs and attitudes regarding ocean management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Evaluating the effects of increasing human dissociation from nature on the management of marine biological diversity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technologies and strategies to deliver ocean-based renewable and non-renewable resources to society with minimal harm to the ocean environment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decision making frameworks required to establish a socially and ecologically sustainable balance between aquaculture and wild fisheries in marine ecosystems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Determining how the dispersal of marine species functionally connects populations and locations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28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how climate change will affect the integrity of polar systems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33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45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Evaluating the benefits and costs of integrating ocean governance across environment, health, and trade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Assessing the effects of different strategies for building community capacity on levels of citizen engagement in coastal and ocean stewardship, restoration, and conservation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Identifying effects of exploration and exploitation of marine resources in Antarctica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inequalities in social power which contribute to non-optimal recognition and appreciation of ecosystem values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Investigating how different political cultures and institutions affect the acquisition and treatment of scientific evidence in ocean policy formulation, implementation and evaluation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Evaluating how humankind's various worldviews influence management priorities for marine ecosystems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lastRenderedPageBreak/>
              <w:t>33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40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Finding which strategies for distributing the material benefits derived from biodiversity most effectively foster environmental stewardship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38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which local and traditional knowledge can be synthesised with scientific knowledge to inform ocean science management and governance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Managing the feedback loops of each social/economic action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Evaluating the effects of climate change associated dispersal and colonisation on ecosystem function in polar oceans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Finding methods which can identify, reduce, and integrate sea surface temperature and sea-ice-related uncertainty in climate modelling systems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34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Evaluating the degree to which MPAs can provide resilience or a buffer against ecosystem disruption caused by climatic changes or human activities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33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Identifying the economic incentives which will reward efforts that create long-term economic prosperity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27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>Assessing the impacts of contaminant spills and accidents in polar and deep seas, and the appropriate strategies and technologies for prevention and mitigation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47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Pr="00AC7BC8" w:rsidRDefault="00EA7ED7" w:rsidP="004E15C5">
            <w:pPr>
              <w:jc w:val="center"/>
            </w:pPr>
            <w:r w:rsidRPr="00AC7BC8">
              <w:t>20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Discerning how management practises and environmental variability influence how pathogens and parasites affect marine ecosystems </w:t>
            </w:r>
          </w:p>
        </w:tc>
      </w:tr>
      <w:tr w:rsidR="00EA7ED7" w:rsidRPr="001539EB" w:rsidTr="00EA7ED7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noWrap/>
            <w:hideMark/>
          </w:tcPr>
          <w:p w:rsidR="00EA7ED7" w:rsidRPr="00AC7BC8" w:rsidRDefault="00EA7ED7" w:rsidP="004E15C5">
            <w:pPr>
              <w:jc w:val="center"/>
            </w:pPr>
            <w:r w:rsidRPr="00AC7BC8">
              <w:t>48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A7ED7" w:rsidRDefault="00EA7ED7" w:rsidP="004E15C5">
            <w:pPr>
              <w:jc w:val="center"/>
            </w:pPr>
            <w:r w:rsidRPr="00AC7BC8">
              <w:t>17</w:t>
            </w:r>
          </w:p>
        </w:tc>
        <w:tc>
          <w:tcPr>
            <w:tcW w:w="11519" w:type="dxa"/>
            <w:shd w:val="clear" w:color="auto" w:fill="auto"/>
            <w:noWrap/>
            <w:hideMark/>
          </w:tcPr>
          <w:p w:rsidR="00EA7ED7" w:rsidRPr="001539EB" w:rsidRDefault="00EA7ED7" w:rsidP="004E15C5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1539EB">
              <w:rPr>
                <w:rFonts w:eastAsia="Times New Roman" w:cs="Times New Roman"/>
                <w:color w:val="000000"/>
                <w:lang w:eastAsia="en-NZ"/>
              </w:rPr>
              <w:t xml:space="preserve">Assessing how paleo-oceanographic records can be used to predict the future state of the ocean-atmosphere system </w:t>
            </w:r>
          </w:p>
        </w:tc>
      </w:tr>
    </w:tbl>
    <w:p w:rsidR="00090239" w:rsidRDefault="00090239" w:rsidP="00090239"/>
    <w:p w:rsidR="00090239" w:rsidRPr="00090239" w:rsidRDefault="00090239" w:rsidP="00090239"/>
    <w:sectPr w:rsidR="00090239" w:rsidRPr="00090239" w:rsidSect="00090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9"/>
    <w:rsid w:val="00090239"/>
    <w:rsid w:val="0031535F"/>
    <w:rsid w:val="004E15C5"/>
    <w:rsid w:val="004F3CB7"/>
    <w:rsid w:val="00537BCC"/>
    <w:rsid w:val="00634D0E"/>
    <w:rsid w:val="006A64E0"/>
    <w:rsid w:val="006B6F97"/>
    <w:rsid w:val="006C00D7"/>
    <w:rsid w:val="006E2997"/>
    <w:rsid w:val="00704659"/>
    <w:rsid w:val="007E687D"/>
    <w:rsid w:val="00C41DD4"/>
    <w:rsid w:val="00E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2E4E4-1E33-4101-B4CF-C094B01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Cartner</dc:creator>
  <cp:keywords/>
  <dc:description/>
  <cp:lastModifiedBy>Tracey Burgess</cp:lastModifiedBy>
  <cp:revision>5</cp:revision>
  <cp:lastPrinted>2014-07-14T23:02:00Z</cp:lastPrinted>
  <dcterms:created xsi:type="dcterms:W3CDTF">2014-07-31T00:15:00Z</dcterms:created>
  <dcterms:modified xsi:type="dcterms:W3CDTF">2014-07-31T23:25:00Z</dcterms:modified>
</cp:coreProperties>
</file>